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2324B">
      <w:pPr>
        <w:tabs>
          <w:tab w:val="center" w:pos="4365"/>
        </w:tabs>
        <w:spacing w:line="360" w:lineRule="auto"/>
        <w:jc w:val="center"/>
        <w:outlineLvl w:val="0"/>
        <w:rPr>
          <w:rFonts w:eastAsia="方正小标宋简体"/>
          <w:bCs/>
          <w:sz w:val="48"/>
          <w:szCs w:val="48"/>
        </w:rPr>
      </w:pPr>
      <w:bookmarkStart w:id="0" w:name="_Toc165921147"/>
      <w:bookmarkStart w:id="1" w:name="_Toc14944"/>
      <w:r>
        <w:rPr>
          <w:rFonts w:eastAsia="方正小标宋简体"/>
          <w:bCs/>
          <w:sz w:val="48"/>
          <w:szCs w:val="48"/>
        </w:rPr>
        <w:t>2025年度山东省自然科学奖提名书</w:t>
      </w:r>
      <w:bookmarkEnd w:id="0"/>
      <w:bookmarkEnd w:id="1"/>
    </w:p>
    <w:p w14:paraId="1AB0498E">
      <w:pPr>
        <w:spacing w:line="360" w:lineRule="auto"/>
        <w:rPr>
          <w:rFonts w:eastAsia="方正小标宋简体"/>
          <w:bCs/>
          <w:sz w:val="48"/>
          <w:szCs w:val="48"/>
        </w:rPr>
      </w:pPr>
    </w:p>
    <w:p w14:paraId="6741D729">
      <w:pPr>
        <w:spacing w:line="360" w:lineRule="auto"/>
        <w:rPr>
          <w:rFonts w:hint="eastAsia" w:eastAsia="方正小标宋简体"/>
          <w:bCs/>
          <w:sz w:val="48"/>
          <w:szCs w:val="48"/>
        </w:rPr>
      </w:pPr>
    </w:p>
    <w:p w14:paraId="14C3A2CC">
      <w:pPr>
        <w:spacing w:line="480" w:lineRule="auto"/>
        <w:ind w:left="1800" w:hanging="1800" w:hangingChars="500"/>
        <w:jc w:val="left"/>
        <w:rPr>
          <w:bCs/>
          <w:sz w:val="36"/>
          <w:szCs w:val="36"/>
        </w:rPr>
      </w:pPr>
      <w:r>
        <w:rPr>
          <w:bCs/>
          <w:sz w:val="36"/>
          <w:szCs w:val="36"/>
        </w:rPr>
        <w:t>项目名称：光敏色素B多维信号整合机制与作物高产抗逆育种应用</w:t>
      </w:r>
    </w:p>
    <w:p w14:paraId="30491818">
      <w:pPr>
        <w:pStyle w:val="6"/>
        <w:spacing w:after="0" w:line="480" w:lineRule="auto"/>
        <w:ind w:firstLine="0" w:firstLineChars="0"/>
        <w:jc w:val="left"/>
        <w:rPr>
          <w:bCs/>
          <w:sz w:val="36"/>
          <w:szCs w:val="36"/>
        </w:rPr>
      </w:pPr>
      <w:r>
        <w:rPr>
          <w:bCs/>
          <w:sz w:val="36"/>
          <w:szCs w:val="36"/>
        </w:rPr>
        <w:t>提名者：</w:t>
      </w:r>
      <w:r>
        <w:rPr>
          <w:rFonts w:hint="eastAsia"/>
          <w:bCs/>
          <w:sz w:val="36"/>
          <w:szCs w:val="36"/>
        </w:rPr>
        <w:t xml:space="preserve"> </w:t>
      </w:r>
      <w:r>
        <w:rPr>
          <w:bCs/>
          <w:sz w:val="36"/>
          <w:szCs w:val="36"/>
        </w:rPr>
        <w:t xml:space="preserve"> 山东省农业科学院         </w:t>
      </w:r>
    </w:p>
    <w:p w14:paraId="2F1AB554">
      <w:pPr>
        <w:pStyle w:val="6"/>
        <w:spacing w:after="0" w:line="480" w:lineRule="auto"/>
        <w:ind w:firstLine="0" w:firstLineChars="0"/>
        <w:rPr>
          <w:bCs/>
          <w:sz w:val="36"/>
          <w:szCs w:val="36"/>
          <w:u w:val="single"/>
        </w:rPr>
      </w:pPr>
      <w:r>
        <w:rPr>
          <w:bCs/>
          <w:sz w:val="36"/>
          <w:szCs w:val="36"/>
        </w:rPr>
        <w:t>提名等级：</w:t>
      </w:r>
      <w:r>
        <w:rPr>
          <w:rFonts w:hint="eastAsia"/>
          <w:bCs/>
          <w:sz w:val="36"/>
          <w:szCs w:val="36"/>
        </w:rPr>
        <w:t>山东省自然科学奖二等奖</w:t>
      </w:r>
      <w:r>
        <w:rPr>
          <w:bCs/>
          <w:sz w:val="36"/>
          <w:szCs w:val="36"/>
        </w:rPr>
        <w:t xml:space="preserve"> </w:t>
      </w:r>
    </w:p>
    <w:p w14:paraId="3E3CAC7D">
      <w:pPr>
        <w:pStyle w:val="6"/>
        <w:spacing w:after="0" w:line="480" w:lineRule="auto"/>
        <w:ind w:left="2160" w:hanging="2160" w:hangingChars="600"/>
        <w:rPr>
          <w:bCs/>
          <w:sz w:val="36"/>
          <w:szCs w:val="36"/>
        </w:rPr>
      </w:pPr>
      <w:r>
        <w:rPr>
          <w:bCs/>
          <w:sz w:val="36"/>
          <w:szCs w:val="36"/>
        </w:rPr>
        <w:t>主要完成人：谢先芝</w:t>
      </w:r>
      <w:r>
        <w:rPr>
          <w:rFonts w:hint="eastAsia"/>
          <w:bCs/>
          <w:sz w:val="36"/>
          <w:szCs w:val="36"/>
        </w:rPr>
        <w:t xml:space="preserve"> 孙伟 王青</w:t>
      </w:r>
      <w:r>
        <w:rPr>
          <w:rFonts w:hint="eastAsia"/>
          <w:bCs/>
          <w:sz w:val="36"/>
          <w:szCs w:val="36"/>
          <w:lang w:val="en-US" w:eastAsia="zh-CN"/>
        </w:rPr>
        <w:t xml:space="preserve"> </w:t>
      </w:r>
      <w:r>
        <w:rPr>
          <w:rFonts w:hint="eastAsia"/>
          <w:bCs/>
          <w:sz w:val="36"/>
          <w:szCs w:val="36"/>
        </w:rPr>
        <w:t xml:space="preserve">孙加强 解丽霞 </w:t>
      </w:r>
    </w:p>
    <w:p w14:paraId="2EAB3122">
      <w:pPr>
        <w:pStyle w:val="6"/>
        <w:spacing w:after="0" w:line="480" w:lineRule="auto"/>
        <w:ind w:left="1260" w:leftChars="600" w:firstLine="720" w:firstLineChars="200"/>
        <w:rPr>
          <w:bCs/>
          <w:sz w:val="36"/>
          <w:szCs w:val="36"/>
        </w:rPr>
      </w:pPr>
      <w:r>
        <w:rPr>
          <w:rFonts w:hint="eastAsia"/>
          <w:bCs/>
          <w:sz w:val="36"/>
          <w:szCs w:val="36"/>
        </w:rPr>
        <w:t>周晋军 李亚萍 和亚</w:t>
      </w:r>
      <w:bookmarkStart w:id="10" w:name="_GoBack"/>
      <w:bookmarkEnd w:id="10"/>
      <w:r>
        <w:rPr>
          <w:rFonts w:hint="eastAsia"/>
          <w:bCs/>
          <w:sz w:val="36"/>
          <w:szCs w:val="36"/>
        </w:rPr>
        <w:t xml:space="preserve">男 </w:t>
      </w:r>
      <w:r>
        <w:rPr>
          <w:bCs/>
          <w:sz w:val="36"/>
          <w:szCs w:val="36"/>
        </w:rPr>
        <w:t xml:space="preserve">                      </w:t>
      </w:r>
    </w:p>
    <w:p w14:paraId="7888A21E">
      <w:pPr>
        <w:pStyle w:val="6"/>
        <w:spacing w:after="0" w:line="480" w:lineRule="auto"/>
        <w:ind w:firstLine="0" w:firstLineChars="0"/>
        <w:rPr>
          <w:bCs/>
          <w:sz w:val="36"/>
          <w:szCs w:val="36"/>
        </w:rPr>
      </w:pPr>
      <w:r>
        <w:rPr>
          <w:bCs/>
          <w:sz w:val="36"/>
          <w:szCs w:val="36"/>
        </w:rPr>
        <w:t>主要完成单位： 山东省农业科学院、中国科学院遗传</w:t>
      </w:r>
      <w:r>
        <w:rPr>
          <w:rFonts w:hint="eastAsia"/>
          <w:bCs/>
          <w:sz w:val="36"/>
          <w:szCs w:val="36"/>
        </w:rPr>
        <w:t>与</w:t>
      </w:r>
      <w:r>
        <w:rPr>
          <w:bCs/>
          <w:sz w:val="36"/>
          <w:szCs w:val="36"/>
        </w:rPr>
        <w:t>发育生物学研究所、中国农业科学院作物科学研究所</w:t>
      </w:r>
    </w:p>
    <w:p w14:paraId="1791C8D2">
      <w:pPr>
        <w:pStyle w:val="6"/>
        <w:spacing w:after="0" w:line="480" w:lineRule="auto"/>
        <w:ind w:firstLine="0" w:firstLineChars="0"/>
        <w:rPr>
          <w:bCs/>
          <w:sz w:val="36"/>
          <w:szCs w:val="36"/>
        </w:rPr>
      </w:pPr>
    </w:p>
    <w:p w14:paraId="648A62CB">
      <w:pPr>
        <w:pStyle w:val="6"/>
        <w:spacing w:after="0" w:line="360" w:lineRule="auto"/>
        <w:ind w:firstLine="0" w:firstLineChars="0"/>
        <w:rPr>
          <w:bCs/>
          <w:sz w:val="36"/>
          <w:szCs w:val="36"/>
        </w:rPr>
      </w:pPr>
    </w:p>
    <w:p w14:paraId="21DA8F7B">
      <w:pPr>
        <w:pStyle w:val="6"/>
        <w:spacing w:after="0" w:line="360" w:lineRule="auto"/>
        <w:ind w:firstLine="0" w:firstLineChars="0"/>
        <w:rPr>
          <w:bCs/>
          <w:sz w:val="36"/>
          <w:szCs w:val="36"/>
        </w:rPr>
      </w:pPr>
    </w:p>
    <w:p w14:paraId="39758B35">
      <w:pPr>
        <w:pStyle w:val="6"/>
        <w:spacing w:after="0" w:line="360" w:lineRule="auto"/>
        <w:ind w:firstLine="0" w:firstLineChars="0"/>
        <w:rPr>
          <w:bCs/>
          <w:sz w:val="36"/>
          <w:szCs w:val="36"/>
        </w:rPr>
      </w:pPr>
    </w:p>
    <w:p w14:paraId="227B22F4">
      <w:pPr>
        <w:pStyle w:val="6"/>
        <w:spacing w:after="0" w:line="360" w:lineRule="auto"/>
        <w:ind w:firstLine="0" w:firstLineChars="0"/>
        <w:rPr>
          <w:bCs/>
          <w:sz w:val="36"/>
          <w:szCs w:val="36"/>
        </w:rPr>
      </w:pPr>
    </w:p>
    <w:p w14:paraId="25B12CBE">
      <w:pPr>
        <w:pStyle w:val="6"/>
        <w:spacing w:after="0" w:line="360" w:lineRule="auto"/>
        <w:ind w:firstLine="0" w:firstLineChars="0"/>
        <w:rPr>
          <w:bCs/>
          <w:sz w:val="36"/>
          <w:szCs w:val="36"/>
        </w:rPr>
      </w:pPr>
    </w:p>
    <w:p w14:paraId="53F19198">
      <w:pPr>
        <w:pStyle w:val="6"/>
        <w:spacing w:after="0" w:line="360" w:lineRule="auto"/>
        <w:ind w:firstLine="0" w:firstLineChars="0"/>
        <w:rPr>
          <w:bCs/>
          <w:sz w:val="36"/>
          <w:szCs w:val="36"/>
        </w:rPr>
      </w:pPr>
    </w:p>
    <w:p w14:paraId="34643BAB">
      <w:pPr>
        <w:pStyle w:val="6"/>
        <w:spacing w:after="0" w:line="360" w:lineRule="auto"/>
        <w:ind w:firstLine="0" w:firstLineChars="0"/>
        <w:rPr>
          <w:bCs/>
          <w:sz w:val="36"/>
          <w:szCs w:val="36"/>
        </w:rPr>
      </w:pPr>
    </w:p>
    <w:p w14:paraId="54CD7DC3">
      <w:pPr>
        <w:pStyle w:val="6"/>
        <w:spacing w:after="0" w:line="360" w:lineRule="auto"/>
        <w:ind w:firstLine="0" w:firstLineChars="0"/>
        <w:rPr>
          <w:bCs/>
          <w:sz w:val="36"/>
          <w:szCs w:val="36"/>
        </w:rPr>
      </w:pPr>
    </w:p>
    <w:p w14:paraId="4908ADDC">
      <w:pPr>
        <w:pStyle w:val="6"/>
        <w:spacing w:after="0" w:line="360" w:lineRule="auto"/>
        <w:ind w:firstLine="0" w:firstLineChars="0"/>
        <w:rPr>
          <w:bCs/>
          <w:sz w:val="36"/>
          <w:szCs w:val="36"/>
        </w:rPr>
      </w:pPr>
    </w:p>
    <w:p w14:paraId="34B1A063">
      <w:pPr>
        <w:pStyle w:val="3"/>
        <w:ind w:firstLine="0" w:firstLineChars="0"/>
        <w:jc w:val="center"/>
        <w:rPr>
          <w:rFonts w:ascii="Times New Roman"/>
          <w:b/>
          <w:bCs/>
          <w:color w:val="000000"/>
          <w:sz w:val="28"/>
        </w:rPr>
      </w:pPr>
      <w:r>
        <w:rPr>
          <w:rFonts w:ascii="Times New Roman"/>
          <w:b/>
          <w:bCs/>
          <w:color w:val="000000"/>
          <w:sz w:val="28"/>
        </w:rPr>
        <w:t>项目简介</w:t>
      </w:r>
    </w:p>
    <w:p w14:paraId="7351FD6D">
      <w:pPr>
        <w:pStyle w:val="3"/>
        <w:spacing w:line="400" w:lineRule="exact"/>
        <w:rPr>
          <w:rFonts w:ascii="Times New Roman"/>
          <w:color w:val="000000"/>
          <w:szCs w:val="24"/>
        </w:rPr>
      </w:pPr>
      <w:r>
        <w:rPr>
          <w:rFonts w:ascii="Times New Roman"/>
          <w:color w:val="000000"/>
          <w:szCs w:val="24"/>
        </w:rPr>
        <w:t>全球粮食安全面临严峻挑战，亟需突破作物高产、抗逆多性状改良的技术瓶颈。挖掘并解析高产、抗逆基因功能，特别是“一因多效”基因的整合调控机制是深入理解高产抗逆协调机制和作物高产抗逆育种应用的基础。本项目围绕phyB的机制解析与育种应用，阐明了phyB整合多维信号的分子机制，建立了phyB调控产量、抗逆性的信号模块，构建了光信号下游元件模块化育种技术体系，取得了系列原创性研究成果。为</w:t>
      </w:r>
      <w:r>
        <w:rPr>
          <w:rFonts w:ascii="Times New Roman"/>
          <w:bCs/>
          <w:szCs w:val="24"/>
        </w:rPr>
        <w:t>深入理解光信号整合多维信号分子机制和培育高产抗逆新品种提供重要支撑。</w:t>
      </w:r>
    </w:p>
    <w:p w14:paraId="2B743C7B">
      <w:pPr>
        <w:pStyle w:val="3"/>
        <w:spacing w:line="400" w:lineRule="exact"/>
        <w:rPr>
          <w:rFonts w:ascii="Times New Roman"/>
          <w:color w:val="000000"/>
          <w:szCs w:val="24"/>
        </w:rPr>
      </w:pPr>
      <w:r>
        <w:rPr>
          <w:rFonts w:ascii="Times New Roman" w:eastAsia="黑体"/>
          <w:color w:val="000000"/>
          <w:szCs w:val="24"/>
        </w:rPr>
        <w:t>1. 解析了phyB调控水稻产量的级联网络，揭示了穗型、分蘖、抽穗期等重要性状调控新机制，为多性状协同改良提供了理论基础。</w:t>
      </w:r>
      <w:r>
        <w:rPr>
          <w:rFonts w:ascii="Cambria Math" w:hAnsi="Cambria Math" w:cs="Cambria Math" w:eastAsiaTheme="minorEastAsia"/>
          <w:color w:val="000000"/>
          <w:szCs w:val="24"/>
        </w:rPr>
        <w:t>①</w:t>
      </w:r>
      <w:r>
        <w:rPr>
          <w:rFonts w:ascii="Times New Roman"/>
          <w:color w:val="000000"/>
          <w:szCs w:val="24"/>
        </w:rPr>
        <w:t>解析了“phyB-OsPIL15-OsmiR530-OsPL3”模块协调水稻产量的机制；</w:t>
      </w:r>
      <w:r>
        <w:rPr>
          <w:rFonts w:ascii="Cambria Math" w:hAnsi="Cambria Math" w:cs="Cambria Math" w:eastAsiaTheme="minorEastAsia"/>
          <w:color w:val="000000"/>
          <w:szCs w:val="24"/>
        </w:rPr>
        <w:t>②</w:t>
      </w:r>
      <w:r>
        <w:rPr>
          <w:rFonts w:ascii="Times New Roman"/>
          <w:color w:val="000000"/>
          <w:szCs w:val="24"/>
        </w:rPr>
        <w:t>阐明了phyB-PIF-SPL-TB1分蘖数调控的进化保守机制；</w:t>
      </w:r>
      <w:r>
        <w:rPr>
          <w:rFonts w:ascii="Cambria Math" w:hAnsi="Cambria Math" w:cs="Cambria Math" w:eastAsiaTheme="minorEastAsia"/>
          <w:color w:val="000000"/>
          <w:szCs w:val="24"/>
        </w:rPr>
        <w:t>③</w:t>
      </w:r>
      <w:r>
        <w:rPr>
          <w:rFonts w:ascii="Times New Roman"/>
          <w:color w:val="000000"/>
          <w:szCs w:val="24"/>
        </w:rPr>
        <w:t>揭示了phyB-OsPIL15-LF-Hd1抽穗期调控新通路；</w:t>
      </w:r>
      <w:r>
        <w:rPr>
          <w:rFonts w:ascii="Cambria Math" w:hAnsi="Cambria Math" w:cs="Cambria Math" w:eastAsiaTheme="minorEastAsia"/>
          <w:color w:val="000000"/>
          <w:szCs w:val="24"/>
        </w:rPr>
        <w:t>④</w:t>
      </w:r>
      <w:r>
        <w:rPr>
          <w:rFonts w:ascii="Times New Roman"/>
          <w:color w:val="000000"/>
          <w:szCs w:val="24"/>
        </w:rPr>
        <w:t>揭示了phyB-PIF4-BZR1-BIC1模块是植物整合光信号和激素信号的核心途径之一。</w:t>
      </w:r>
    </w:p>
    <w:p w14:paraId="2540F428">
      <w:pPr>
        <w:pStyle w:val="3"/>
        <w:spacing w:line="400" w:lineRule="exact"/>
        <w:rPr>
          <w:rFonts w:ascii="Times New Roman"/>
          <w:color w:val="000000"/>
          <w:szCs w:val="24"/>
        </w:rPr>
      </w:pPr>
      <w:r>
        <w:rPr>
          <w:rFonts w:ascii="Times New Roman" w:eastAsia="黑体"/>
          <w:color w:val="000000"/>
          <w:szCs w:val="24"/>
        </w:rPr>
        <w:t>2.建立了phyB信号网络驱动的抗逆增效分子模块，丰富了抗逆理论基础，为品种抗逆改良提供了新的思路。</w:t>
      </w:r>
      <w:r>
        <w:rPr>
          <w:rFonts w:ascii="Cambria Math" w:hAnsi="Cambria Math" w:cs="Cambria Math"/>
          <w:color w:val="000000"/>
          <w:szCs w:val="24"/>
        </w:rPr>
        <w:t>①</w:t>
      </w:r>
      <w:r>
        <w:rPr>
          <w:rFonts w:ascii="Times New Roman"/>
          <w:color w:val="000000"/>
          <w:szCs w:val="24"/>
        </w:rPr>
        <w:t>建立了phyB-Ghd7-ARE1光氮协同调控植物生长发育模块；</w:t>
      </w:r>
      <w:r>
        <w:rPr>
          <w:rFonts w:ascii="Cambria Math" w:hAnsi="Cambria Math" w:cs="Cambria Math" w:eastAsiaTheme="minorEastAsia"/>
          <w:color w:val="000000"/>
          <w:szCs w:val="24"/>
        </w:rPr>
        <w:t>②</w:t>
      </w:r>
      <w:r>
        <w:rPr>
          <w:rFonts w:ascii="Times New Roman"/>
          <w:color w:val="000000"/>
          <w:szCs w:val="24"/>
        </w:rPr>
        <w:t>建立了“phyB-OsPIL16-OsDREB1”调控水稻耐低温反应的新机制；</w:t>
      </w:r>
      <w:r>
        <w:rPr>
          <w:rFonts w:ascii="Cambria Math" w:hAnsi="Cambria Math" w:cs="Cambria Math" w:eastAsiaTheme="minorEastAsia"/>
          <w:color w:val="000000"/>
          <w:szCs w:val="24"/>
        </w:rPr>
        <w:t>③</w:t>
      </w:r>
      <w:r>
        <w:rPr>
          <w:rFonts w:ascii="Times New Roman"/>
          <w:color w:val="000000"/>
          <w:szCs w:val="24"/>
        </w:rPr>
        <w:t>阐明了phyB通过调控蒸腾速率和蒸腾量响应干旱胁迫耐的机制；</w:t>
      </w:r>
      <w:r>
        <w:rPr>
          <w:rFonts w:ascii="Cambria Math" w:hAnsi="Cambria Math" w:cs="Cambria Math" w:eastAsiaTheme="minorEastAsia"/>
          <w:color w:val="000000"/>
          <w:szCs w:val="24"/>
        </w:rPr>
        <w:t>④</w:t>
      </w:r>
      <w:r>
        <w:rPr>
          <w:rFonts w:ascii="Times New Roman"/>
          <w:color w:val="000000"/>
          <w:szCs w:val="24"/>
        </w:rPr>
        <w:t>建立了phyB在最大化JA-和SA-介导的防御反应调控模型。</w:t>
      </w:r>
    </w:p>
    <w:p w14:paraId="47E36238">
      <w:pPr>
        <w:pStyle w:val="3"/>
        <w:spacing w:line="400" w:lineRule="exact"/>
        <w:rPr>
          <w:rFonts w:ascii="Times New Roman" w:eastAsia="黑体"/>
          <w:color w:val="000000"/>
          <w:szCs w:val="24"/>
        </w:rPr>
      </w:pPr>
      <w:r>
        <w:rPr>
          <w:rFonts w:ascii="Times New Roman" w:eastAsia="黑体"/>
          <w:color w:val="000000"/>
          <w:szCs w:val="24"/>
        </w:rPr>
        <w:t>3.建立了光信号下游元件模块化育种技术体系，创制了一批作物高产、抗逆中间材料，为光信号应用于生物育种奠定了基础。</w:t>
      </w:r>
      <w:r>
        <w:rPr>
          <w:rFonts w:hint="eastAsia" w:ascii="宋体" w:hAnsi="宋体" w:cs="宋体"/>
          <w:color w:val="000000"/>
          <w:szCs w:val="24"/>
        </w:rPr>
        <w:t>①</w:t>
      </w:r>
      <w:r>
        <w:rPr>
          <w:rFonts w:ascii="Times New Roman" w:eastAsia="黑体"/>
          <w:color w:val="000000"/>
          <w:szCs w:val="24"/>
        </w:rPr>
        <w:t>挖掘phyB调控的水稻产量和抗逆新基因13个，并分析了其生物学功能；</w:t>
      </w:r>
      <w:r>
        <w:rPr>
          <w:rFonts w:hint="eastAsia" w:ascii="宋体" w:hAnsi="宋体" w:cs="宋体"/>
          <w:color w:val="000000"/>
          <w:szCs w:val="24"/>
        </w:rPr>
        <w:t>②</w:t>
      </w:r>
      <w:r>
        <w:rPr>
          <w:rFonts w:ascii="Times New Roman" w:eastAsia="黑体"/>
          <w:color w:val="000000"/>
          <w:szCs w:val="24"/>
        </w:rPr>
        <w:t>利用生物育种技术创制了水稻、小麦、玉米中间材料30余份；</w:t>
      </w:r>
      <w:r>
        <w:rPr>
          <w:rFonts w:hint="eastAsia" w:ascii="宋体" w:hAnsi="宋体" w:cs="宋体"/>
          <w:color w:val="000000"/>
          <w:szCs w:val="24"/>
        </w:rPr>
        <w:t>③</w:t>
      </w:r>
      <w:r>
        <w:rPr>
          <w:rFonts w:ascii="Times New Roman" w:eastAsia="黑体"/>
          <w:color w:val="000000"/>
          <w:szCs w:val="24"/>
        </w:rPr>
        <w:t>开展了phyB信号转导途径相关基因的育种应用研究，授权国际发明专利1项、</w:t>
      </w:r>
      <w:r>
        <w:rPr>
          <w:rFonts w:hint="eastAsia" w:ascii="Times New Roman" w:eastAsia="黑体"/>
          <w:color w:val="000000"/>
          <w:szCs w:val="24"/>
        </w:rPr>
        <w:t>申请</w:t>
      </w:r>
      <w:r>
        <w:rPr>
          <w:rFonts w:ascii="Times New Roman" w:eastAsia="黑体"/>
          <w:color w:val="000000"/>
          <w:szCs w:val="24"/>
        </w:rPr>
        <w:t>国家发明专利15项。</w:t>
      </w:r>
    </w:p>
    <w:p w14:paraId="793BE751">
      <w:pPr>
        <w:pStyle w:val="3"/>
        <w:spacing w:line="400" w:lineRule="exact"/>
        <w:rPr>
          <w:rFonts w:ascii="Times New Roman"/>
          <w:color w:val="000000"/>
          <w:szCs w:val="24"/>
        </w:rPr>
      </w:pPr>
      <w:r>
        <w:rPr>
          <w:rFonts w:ascii="Times New Roman"/>
          <w:color w:val="000000"/>
          <w:szCs w:val="24"/>
        </w:rPr>
        <w:t>围绕phyB的机制解析与育种应用研究，本项目整合国内光信号研究优势单位，组建了联合攻关团队。经过十余年的研究，解析了phyB整合光温、协调高产抗逆的机制，建立了“机制-基因-种质”创新理论。项目实施以来，先后在Nature Communications、Molecular Plant、Molecular cell、New Phytologist等</w:t>
      </w:r>
      <w:r>
        <w:rPr>
          <w:rFonts w:hint="eastAsia" w:ascii="Times New Roman"/>
          <w:color w:val="000000"/>
          <w:szCs w:val="24"/>
        </w:rPr>
        <w:t>权</w:t>
      </w:r>
      <w:r>
        <w:rPr>
          <w:rFonts w:ascii="Times New Roman"/>
          <w:color w:val="000000"/>
          <w:szCs w:val="24"/>
        </w:rPr>
        <w:t>威</w:t>
      </w:r>
      <w:r>
        <w:rPr>
          <w:rFonts w:hint="eastAsia" w:ascii="Times New Roman"/>
          <w:color w:val="000000"/>
          <w:szCs w:val="24"/>
        </w:rPr>
        <w:t>期刊</w:t>
      </w:r>
      <w:r>
        <w:rPr>
          <w:rFonts w:ascii="Times New Roman"/>
          <w:color w:val="000000"/>
          <w:szCs w:val="24"/>
        </w:rPr>
        <w:t>发表论文</w:t>
      </w:r>
      <w:r>
        <w:rPr>
          <w:rFonts w:hint="eastAsia" w:ascii="Times New Roman"/>
          <w:color w:val="000000"/>
          <w:szCs w:val="24"/>
        </w:rPr>
        <w:t>34</w:t>
      </w:r>
      <w:r>
        <w:rPr>
          <w:rFonts w:ascii="Times New Roman"/>
          <w:color w:val="000000"/>
          <w:szCs w:val="24"/>
        </w:rPr>
        <w:t>篇；授权发明专利</w:t>
      </w:r>
      <w:r>
        <w:rPr>
          <w:rFonts w:hint="eastAsia" w:ascii="Times New Roman"/>
          <w:color w:val="000000"/>
          <w:szCs w:val="24"/>
        </w:rPr>
        <w:t>19</w:t>
      </w:r>
      <w:r>
        <w:rPr>
          <w:rFonts w:ascii="Times New Roman"/>
          <w:color w:val="000000"/>
          <w:szCs w:val="24"/>
        </w:rPr>
        <w:t>项、植物新品种权3个；培育了作物高产抗逆新种质</w:t>
      </w:r>
      <w:r>
        <w:rPr>
          <w:rFonts w:hint="eastAsia" w:ascii="Times New Roman"/>
          <w:color w:val="000000"/>
          <w:szCs w:val="24"/>
        </w:rPr>
        <w:t>3</w:t>
      </w:r>
      <w:r>
        <w:rPr>
          <w:rFonts w:ascii="Times New Roman"/>
          <w:color w:val="000000"/>
          <w:szCs w:val="24"/>
        </w:rPr>
        <w:t>0</w:t>
      </w:r>
      <w:r>
        <w:rPr>
          <w:rFonts w:hint="eastAsia" w:ascii="Times New Roman"/>
          <w:color w:val="000000"/>
          <w:szCs w:val="24"/>
        </w:rPr>
        <w:t>余</w:t>
      </w:r>
      <w:r>
        <w:rPr>
          <w:rFonts w:ascii="Times New Roman"/>
          <w:color w:val="000000"/>
          <w:szCs w:val="24"/>
        </w:rPr>
        <w:t>份。5篇代表性论文被Annual Review of Plant Biology等国际顶尖期刊引用</w:t>
      </w:r>
      <w:r>
        <w:rPr>
          <w:rFonts w:hint="eastAsia" w:ascii="Times New Roman"/>
          <w:color w:val="000000"/>
          <w:szCs w:val="24"/>
        </w:rPr>
        <w:t>3</w:t>
      </w:r>
      <w:r>
        <w:rPr>
          <w:rFonts w:ascii="Times New Roman"/>
          <w:color w:val="000000"/>
          <w:szCs w:val="24"/>
        </w:rPr>
        <w:t>72次，其中SCI他引</w:t>
      </w:r>
      <w:r>
        <w:rPr>
          <w:rFonts w:hint="eastAsia" w:ascii="Times New Roman"/>
          <w:color w:val="000000"/>
          <w:szCs w:val="24"/>
        </w:rPr>
        <w:t>3</w:t>
      </w:r>
      <w:r>
        <w:rPr>
          <w:rFonts w:ascii="Times New Roman"/>
          <w:color w:val="000000"/>
          <w:szCs w:val="24"/>
        </w:rPr>
        <w:t>56次。</w:t>
      </w:r>
    </w:p>
    <w:p w14:paraId="58C0076C">
      <w:pPr>
        <w:pStyle w:val="6"/>
        <w:spacing w:after="0" w:line="360" w:lineRule="auto"/>
        <w:ind w:firstLine="0" w:firstLineChars="0"/>
        <w:rPr>
          <w:bCs/>
          <w:sz w:val="36"/>
          <w:szCs w:val="36"/>
        </w:rPr>
        <w:sectPr>
          <w:pgSz w:w="11906" w:h="16838"/>
          <w:pgMar w:top="1440" w:right="1800" w:bottom="1440" w:left="1800" w:header="851" w:footer="992" w:gutter="0"/>
          <w:cols w:space="425" w:num="1"/>
          <w:docGrid w:type="lines" w:linePitch="312" w:charSpace="0"/>
        </w:sectPr>
      </w:pPr>
    </w:p>
    <w:p w14:paraId="39B6AA75">
      <w:pPr>
        <w:pStyle w:val="3"/>
        <w:ind w:firstLine="562"/>
        <w:jc w:val="center"/>
        <w:rPr>
          <w:rFonts w:ascii="Times New Roman"/>
          <w:b/>
          <w:color w:val="000000"/>
          <w:sz w:val="28"/>
          <w:highlight w:val="yellow"/>
        </w:rPr>
      </w:pPr>
      <w:r>
        <w:rPr>
          <w:rFonts w:ascii="Times New Roman"/>
          <w:b/>
          <w:color w:val="000000"/>
          <w:sz w:val="28"/>
        </w:rPr>
        <w:t>代表性论文专著目录</w:t>
      </w:r>
      <w:r>
        <w:rPr>
          <w:rFonts w:ascii="Times New Roman"/>
          <w:color w:val="000000"/>
          <w:sz w:val="21"/>
          <w:szCs w:val="21"/>
        </w:rPr>
        <w:t>（限5篇）</w:t>
      </w:r>
    </w:p>
    <w:tbl>
      <w:tblPr>
        <w:tblStyle w:val="7"/>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14:paraId="74BA4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vAlign w:val="center"/>
          </w:tcPr>
          <w:p w14:paraId="2FB62817">
            <w:pPr>
              <w:pStyle w:val="3"/>
              <w:adjustRightInd w:val="0"/>
              <w:spacing w:after="50" w:line="440" w:lineRule="exact"/>
              <w:ind w:firstLine="0" w:firstLineChars="0"/>
              <w:jc w:val="center"/>
              <w:rPr>
                <w:rFonts w:ascii="Times New Roman"/>
                <w:color w:val="000000"/>
                <w:sz w:val="18"/>
                <w:szCs w:val="18"/>
              </w:rPr>
            </w:pPr>
            <w:bookmarkStart w:id="2" w:name="_Hlk91583588"/>
            <w:r>
              <w:rPr>
                <w:rFonts w:ascii="Times New Roman"/>
                <w:color w:val="000000"/>
                <w:sz w:val="18"/>
                <w:szCs w:val="18"/>
              </w:rPr>
              <w:t>序号</w:t>
            </w:r>
          </w:p>
        </w:tc>
        <w:tc>
          <w:tcPr>
            <w:tcW w:w="2591" w:type="dxa"/>
            <w:vAlign w:val="center"/>
          </w:tcPr>
          <w:p w14:paraId="7A2CCF2C">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论文（专著）名称</w:t>
            </w:r>
          </w:p>
        </w:tc>
        <w:tc>
          <w:tcPr>
            <w:tcW w:w="1517" w:type="dxa"/>
            <w:vAlign w:val="center"/>
          </w:tcPr>
          <w:p w14:paraId="2414BC81">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刊名（出版社）</w:t>
            </w:r>
          </w:p>
        </w:tc>
        <w:tc>
          <w:tcPr>
            <w:tcW w:w="1040" w:type="dxa"/>
          </w:tcPr>
          <w:p w14:paraId="4A905B88">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Doi</w:t>
            </w:r>
          </w:p>
          <w:p w14:paraId="1F1452DD">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/ISSN（ISBN）</w:t>
            </w:r>
          </w:p>
        </w:tc>
        <w:tc>
          <w:tcPr>
            <w:tcW w:w="1040" w:type="dxa"/>
            <w:vAlign w:val="center"/>
          </w:tcPr>
          <w:p w14:paraId="69BBB5AF">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发表（出版）时间</w:t>
            </w:r>
          </w:p>
        </w:tc>
        <w:tc>
          <w:tcPr>
            <w:tcW w:w="1431" w:type="dxa"/>
            <w:vAlign w:val="center"/>
          </w:tcPr>
          <w:p w14:paraId="6135ECC3">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作者（按刊物发表顺序）</w:t>
            </w:r>
          </w:p>
        </w:tc>
        <w:tc>
          <w:tcPr>
            <w:tcW w:w="1161" w:type="dxa"/>
            <w:vAlign w:val="center"/>
          </w:tcPr>
          <w:p w14:paraId="6CC8EE25">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通讯作者</w:t>
            </w:r>
          </w:p>
          <w:p w14:paraId="73650490">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（含共同）</w:t>
            </w:r>
          </w:p>
        </w:tc>
        <w:tc>
          <w:tcPr>
            <w:tcW w:w="1134" w:type="dxa"/>
            <w:vAlign w:val="center"/>
          </w:tcPr>
          <w:p w14:paraId="056D03B9">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第一作者</w:t>
            </w:r>
          </w:p>
          <w:p w14:paraId="423489FA">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（含共同）</w:t>
            </w:r>
          </w:p>
        </w:tc>
        <w:tc>
          <w:tcPr>
            <w:tcW w:w="851" w:type="dxa"/>
            <w:vAlign w:val="center"/>
          </w:tcPr>
          <w:p w14:paraId="749E1761">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他引</w:t>
            </w:r>
          </w:p>
          <w:p w14:paraId="6FF3E317">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总次数</w:t>
            </w:r>
          </w:p>
        </w:tc>
        <w:tc>
          <w:tcPr>
            <w:tcW w:w="850" w:type="dxa"/>
            <w:vAlign w:val="center"/>
          </w:tcPr>
          <w:p w14:paraId="7A5BD71F">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检索</w:t>
            </w:r>
          </w:p>
          <w:p w14:paraId="3058C483">
            <w:pPr>
              <w:pStyle w:val="3"/>
              <w:adjustRightInd w:val="0"/>
              <w:spacing w:after="50" w:line="440" w:lineRule="exact"/>
              <w:ind w:firstLine="0" w:firstLineChars="0"/>
              <w:jc w:val="center"/>
              <w:rPr>
                <w:rFonts w:ascii="Times New Roman"/>
                <w:color w:val="000000"/>
                <w:sz w:val="18"/>
                <w:szCs w:val="18"/>
              </w:rPr>
            </w:pPr>
            <w:r>
              <w:rPr>
                <w:rFonts w:ascii="Times New Roman"/>
                <w:color w:val="000000"/>
                <w:sz w:val="18"/>
                <w:szCs w:val="18"/>
              </w:rPr>
              <w:t>数据库</w:t>
            </w:r>
          </w:p>
        </w:tc>
        <w:tc>
          <w:tcPr>
            <w:tcW w:w="1134" w:type="dxa"/>
            <w:vAlign w:val="center"/>
          </w:tcPr>
          <w:p w14:paraId="58779FFE">
            <w:pPr>
              <w:pStyle w:val="3"/>
              <w:adjustRightInd w:val="0"/>
              <w:spacing w:after="50" w:line="440" w:lineRule="exact"/>
              <w:ind w:firstLine="0" w:firstLineChars="0"/>
              <w:jc w:val="center"/>
              <w:rPr>
                <w:rFonts w:ascii="Times New Roman"/>
                <w:sz w:val="18"/>
                <w:szCs w:val="18"/>
              </w:rPr>
            </w:pPr>
            <w:r>
              <w:rPr>
                <w:rFonts w:ascii="Times New Roman"/>
                <w:sz w:val="18"/>
                <w:szCs w:val="18"/>
              </w:rPr>
              <w:t>通讯/一作（主编）是否为第一完成人</w:t>
            </w:r>
          </w:p>
        </w:tc>
        <w:tc>
          <w:tcPr>
            <w:tcW w:w="1134" w:type="dxa"/>
          </w:tcPr>
          <w:p w14:paraId="0041BB47">
            <w:pPr>
              <w:pStyle w:val="3"/>
              <w:adjustRightInd w:val="0"/>
              <w:spacing w:after="50" w:line="440" w:lineRule="exact"/>
              <w:ind w:firstLine="0" w:firstLineChars="0"/>
              <w:jc w:val="center"/>
              <w:rPr>
                <w:rFonts w:ascii="Times New Roman"/>
                <w:sz w:val="18"/>
                <w:szCs w:val="18"/>
              </w:rPr>
            </w:pPr>
            <w:r>
              <w:rPr>
                <w:rFonts w:ascii="Times New Roman"/>
                <w:sz w:val="18"/>
                <w:szCs w:val="18"/>
              </w:rPr>
              <w:t>第一署名单位是否为第一完成单位</w:t>
            </w:r>
          </w:p>
        </w:tc>
      </w:tr>
      <w:bookmarkEnd w:id="2"/>
      <w:tr w14:paraId="5A33B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0" w:hRule="exact"/>
        </w:trPr>
        <w:tc>
          <w:tcPr>
            <w:tcW w:w="400" w:type="dxa"/>
            <w:vAlign w:val="center"/>
          </w:tcPr>
          <w:p w14:paraId="29D30EFB">
            <w:pPr>
              <w:pStyle w:val="3"/>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1</w:t>
            </w:r>
          </w:p>
        </w:tc>
        <w:tc>
          <w:tcPr>
            <w:tcW w:w="2591" w:type="dxa"/>
            <w:vAlign w:val="center"/>
          </w:tcPr>
          <w:p w14:paraId="20F289E1">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OsmiR530 acts downstream of OsPIL15 to regulate grain yield in rice.</w:t>
            </w:r>
          </w:p>
        </w:tc>
        <w:tc>
          <w:tcPr>
            <w:tcW w:w="1517" w:type="dxa"/>
            <w:vAlign w:val="center"/>
          </w:tcPr>
          <w:p w14:paraId="13A03649">
            <w:pPr>
              <w:pStyle w:val="3"/>
              <w:spacing w:line="240" w:lineRule="auto"/>
              <w:ind w:firstLine="0" w:firstLineChars="0"/>
              <w:rPr>
                <w:rFonts w:ascii="Times New Roman"/>
                <w:sz w:val="21"/>
                <w:szCs w:val="21"/>
              </w:rPr>
            </w:pPr>
            <w:r>
              <w:rPr>
                <w:rFonts w:ascii="Times New Roman"/>
                <w:sz w:val="21"/>
                <w:szCs w:val="21"/>
              </w:rPr>
              <w:t>New Phytologist</w:t>
            </w:r>
          </w:p>
          <w:p w14:paraId="044F552E">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10.15</w:t>
            </w:r>
          </w:p>
        </w:tc>
        <w:tc>
          <w:tcPr>
            <w:tcW w:w="1040" w:type="dxa"/>
            <w:vAlign w:val="center"/>
          </w:tcPr>
          <w:p w14:paraId="72838433">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10.1111/nph.16399</w:t>
            </w:r>
            <w:r>
              <w:rPr>
                <w:rFonts w:hint="eastAsia" w:ascii="Times New Roman"/>
                <w:sz w:val="21"/>
                <w:szCs w:val="21"/>
              </w:rPr>
              <w:t>/</w:t>
            </w:r>
            <w:r>
              <w:rPr>
                <w:rFonts w:ascii="Times New Roman"/>
                <w:sz w:val="21"/>
                <w:szCs w:val="21"/>
              </w:rPr>
              <w:t>0028-646X</w:t>
            </w:r>
          </w:p>
        </w:tc>
        <w:tc>
          <w:tcPr>
            <w:tcW w:w="1040" w:type="dxa"/>
            <w:vAlign w:val="center"/>
          </w:tcPr>
          <w:p w14:paraId="3A738519">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2020-02-13</w:t>
            </w:r>
          </w:p>
        </w:tc>
        <w:tc>
          <w:tcPr>
            <w:tcW w:w="1431" w:type="dxa"/>
            <w:vAlign w:val="center"/>
          </w:tcPr>
          <w:p w14:paraId="7CC5F18F">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孙伟，徐晓辉，李亚萍，解丽霞，和亚男，李稳，</w:t>
            </w:r>
            <w:r>
              <w:rPr>
                <w:rFonts w:ascii="Times New Roman"/>
                <w:sz w:val="21"/>
                <w:szCs w:val="21"/>
              </w:rPr>
              <w:t xml:space="preserve"> </w:t>
            </w:r>
            <w:r>
              <w:rPr>
                <w:rFonts w:hint="eastAsia" w:ascii="Times New Roman"/>
                <w:sz w:val="21"/>
                <w:szCs w:val="21"/>
              </w:rPr>
              <w:t>路兴波，孙宏伟，谢先芝</w:t>
            </w:r>
          </w:p>
        </w:tc>
        <w:tc>
          <w:tcPr>
            <w:tcW w:w="1161" w:type="dxa"/>
            <w:vAlign w:val="center"/>
          </w:tcPr>
          <w:p w14:paraId="50D10737">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谢先芝</w:t>
            </w:r>
          </w:p>
        </w:tc>
        <w:tc>
          <w:tcPr>
            <w:tcW w:w="1134" w:type="dxa"/>
            <w:vAlign w:val="center"/>
          </w:tcPr>
          <w:p w14:paraId="7E0EA404">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孙伟，徐晓辉</w:t>
            </w:r>
          </w:p>
        </w:tc>
        <w:tc>
          <w:tcPr>
            <w:tcW w:w="851" w:type="dxa"/>
            <w:vAlign w:val="center"/>
          </w:tcPr>
          <w:p w14:paraId="12B721E5">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56</w:t>
            </w:r>
          </w:p>
        </w:tc>
        <w:tc>
          <w:tcPr>
            <w:tcW w:w="850" w:type="dxa"/>
            <w:vAlign w:val="center"/>
          </w:tcPr>
          <w:p w14:paraId="169C0C29">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Web of Science</w:t>
            </w:r>
          </w:p>
        </w:tc>
        <w:tc>
          <w:tcPr>
            <w:tcW w:w="1134" w:type="dxa"/>
            <w:vAlign w:val="center"/>
          </w:tcPr>
          <w:p w14:paraId="7B8B3CAF">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是</w:t>
            </w:r>
          </w:p>
        </w:tc>
        <w:tc>
          <w:tcPr>
            <w:tcW w:w="1134" w:type="dxa"/>
            <w:vAlign w:val="center"/>
          </w:tcPr>
          <w:p w14:paraId="27A403D5">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是</w:t>
            </w:r>
          </w:p>
        </w:tc>
      </w:tr>
      <w:tr w14:paraId="052E7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5" w:hRule="exact"/>
        </w:trPr>
        <w:tc>
          <w:tcPr>
            <w:tcW w:w="400" w:type="dxa"/>
            <w:vAlign w:val="center"/>
          </w:tcPr>
          <w:p w14:paraId="0D361FD6">
            <w:pPr>
              <w:pStyle w:val="3"/>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2</w:t>
            </w:r>
          </w:p>
        </w:tc>
        <w:tc>
          <w:tcPr>
            <w:tcW w:w="2591" w:type="dxa"/>
            <w:vAlign w:val="center"/>
          </w:tcPr>
          <w:p w14:paraId="7070151A">
            <w:pPr>
              <w:pStyle w:val="3"/>
              <w:adjustRightInd w:val="0"/>
              <w:spacing w:after="50" w:line="320" w:lineRule="exact"/>
              <w:ind w:firstLine="0" w:firstLineChars="0"/>
              <w:jc w:val="center"/>
              <w:rPr>
                <w:rFonts w:ascii="Times New Roman"/>
                <w:color w:val="000000"/>
                <w:sz w:val="21"/>
                <w:szCs w:val="28"/>
              </w:rPr>
            </w:pPr>
            <w:bookmarkStart w:id="3" w:name="_Hlk192931948"/>
            <w:r>
              <w:rPr>
                <w:rFonts w:ascii="Times New Roman"/>
                <w:sz w:val="21"/>
                <w:szCs w:val="21"/>
              </w:rPr>
              <w:t>PIL transcription factors directly interact with SPLs and repress tillering/branching in plants</w:t>
            </w:r>
            <w:bookmarkEnd w:id="3"/>
            <w:r>
              <w:rPr>
                <w:rFonts w:ascii="Times New Roman"/>
                <w:sz w:val="21"/>
                <w:szCs w:val="21"/>
              </w:rPr>
              <w:t xml:space="preserve">. </w:t>
            </w:r>
          </w:p>
        </w:tc>
        <w:tc>
          <w:tcPr>
            <w:tcW w:w="1517" w:type="dxa"/>
            <w:vAlign w:val="center"/>
          </w:tcPr>
          <w:p w14:paraId="16E687C6">
            <w:pPr>
              <w:pStyle w:val="3"/>
              <w:spacing w:line="240" w:lineRule="auto"/>
              <w:ind w:firstLine="0" w:firstLineChars="0"/>
              <w:rPr>
                <w:rFonts w:ascii="Times New Roman"/>
                <w:sz w:val="21"/>
                <w:szCs w:val="21"/>
              </w:rPr>
            </w:pPr>
            <w:r>
              <w:rPr>
                <w:rFonts w:ascii="Times New Roman"/>
                <w:sz w:val="21"/>
                <w:szCs w:val="21"/>
              </w:rPr>
              <w:t>New Phytologist</w:t>
            </w:r>
          </w:p>
          <w:p w14:paraId="24F37E30">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10.32</w:t>
            </w:r>
          </w:p>
        </w:tc>
        <w:tc>
          <w:tcPr>
            <w:tcW w:w="1040" w:type="dxa"/>
            <w:vAlign w:val="center"/>
          </w:tcPr>
          <w:p w14:paraId="2C3CC750">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10.1111/nph.17872</w:t>
            </w:r>
            <w:r>
              <w:rPr>
                <w:rFonts w:hint="eastAsia" w:ascii="Times New Roman"/>
                <w:sz w:val="21"/>
                <w:szCs w:val="21"/>
              </w:rPr>
              <w:t>/</w:t>
            </w:r>
            <w:r>
              <w:rPr>
                <w:rFonts w:ascii="Times New Roman"/>
                <w:sz w:val="21"/>
                <w:szCs w:val="21"/>
              </w:rPr>
              <w:t>0028-646X</w:t>
            </w:r>
          </w:p>
        </w:tc>
        <w:tc>
          <w:tcPr>
            <w:tcW w:w="1040" w:type="dxa"/>
            <w:vAlign w:val="center"/>
          </w:tcPr>
          <w:p w14:paraId="32B713AB">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2021-12-10</w:t>
            </w:r>
          </w:p>
        </w:tc>
        <w:tc>
          <w:tcPr>
            <w:tcW w:w="1431" w:type="dxa"/>
            <w:vAlign w:val="center"/>
          </w:tcPr>
          <w:p w14:paraId="347A452A">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张立超，何冠华，李亚萍，杨子怡，刘天齐，谢先芝，孔秀英，孙加强</w:t>
            </w:r>
          </w:p>
        </w:tc>
        <w:tc>
          <w:tcPr>
            <w:tcW w:w="1161" w:type="dxa"/>
            <w:vAlign w:val="center"/>
          </w:tcPr>
          <w:p w14:paraId="51BC1F05">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谢先芝，孔秀英，孙加强</w:t>
            </w:r>
          </w:p>
        </w:tc>
        <w:tc>
          <w:tcPr>
            <w:tcW w:w="1134" w:type="dxa"/>
            <w:vAlign w:val="center"/>
          </w:tcPr>
          <w:p w14:paraId="38FED696">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Zhang, Lichao; He, Guanhua; Li, Yaping</w:t>
            </w:r>
          </w:p>
        </w:tc>
        <w:tc>
          <w:tcPr>
            <w:tcW w:w="851" w:type="dxa"/>
            <w:vAlign w:val="center"/>
          </w:tcPr>
          <w:p w14:paraId="237B152E">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32</w:t>
            </w:r>
          </w:p>
        </w:tc>
        <w:tc>
          <w:tcPr>
            <w:tcW w:w="850" w:type="dxa"/>
            <w:vAlign w:val="center"/>
          </w:tcPr>
          <w:p w14:paraId="43E853A3">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Web of Science</w:t>
            </w:r>
          </w:p>
        </w:tc>
        <w:tc>
          <w:tcPr>
            <w:tcW w:w="1134" w:type="dxa"/>
            <w:vAlign w:val="center"/>
          </w:tcPr>
          <w:p w14:paraId="42DD6A75">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是</w:t>
            </w:r>
          </w:p>
        </w:tc>
        <w:tc>
          <w:tcPr>
            <w:tcW w:w="1134" w:type="dxa"/>
            <w:vAlign w:val="center"/>
          </w:tcPr>
          <w:p w14:paraId="4349E6F7">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否</w:t>
            </w:r>
          </w:p>
        </w:tc>
      </w:tr>
      <w:tr w14:paraId="59797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8" w:hRule="exact"/>
        </w:trPr>
        <w:tc>
          <w:tcPr>
            <w:tcW w:w="400" w:type="dxa"/>
            <w:vAlign w:val="center"/>
          </w:tcPr>
          <w:p w14:paraId="61B64824">
            <w:pPr>
              <w:pStyle w:val="3"/>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3</w:t>
            </w:r>
          </w:p>
        </w:tc>
        <w:tc>
          <w:tcPr>
            <w:tcW w:w="2591" w:type="dxa"/>
            <w:vAlign w:val="center"/>
          </w:tcPr>
          <w:p w14:paraId="28FA686B">
            <w:pPr>
              <w:pStyle w:val="3"/>
              <w:adjustRightInd w:val="0"/>
              <w:spacing w:after="50" w:line="320" w:lineRule="exact"/>
              <w:ind w:firstLine="0" w:firstLineChars="0"/>
              <w:jc w:val="center"/>
              <w:rPr>
                <w:rFonts w:ascii="Times New Roman"/>
                <w:color w:val="000000"/>
                <w:sz w:val="21"/>
                <w:szCs w:val="28"/>
              </w:rPr>
            </w:pPr>
            <w:bookmarkStart w:id="4" w:name="_Hlk192932251"/>
            <w:r>
              <w:rPr>
                <w:rFonts w:ascii="Times New Roman"/>
                <w:sz w:val="21"/>
                <w:szCs w:val="21"/>
              </w:rPr>
              <w:t>The Ghd7 transcription factor represses ARE1 expression to enhance nitrogen utilization and grain yield in rice.</w:t>
            </w:r>
            <w:bookmarkEnd w:id="4"/>
          </w:p>
        </w:tc>
        <w:tc>
          <w:tcPr>
            <w:tcW w:w="1517" w:type="dxa"/>
            <w:vAlign w:val="center"/>
          </w:tcPr>
          <w:p w14:paraId="29849475">
            <w:pPr>
              <w:pStyle w:val="3"/>
              <w:spacing w:line="240" w:lineRule="auto"/>
              <w:ind w:firstLine="0" w:firstLineChars="0"/>
              <w:rPr>
                <w:rFonts w:ascii="Times New Roman"/>
                <w:sz w:val="21"/>
                <w:szCs w:val="21"/>
              </w:rPr>
            </w:pPr>
            <w:r>
              <w:rPr>
                <w:rFonts w:ascii="Times New Roman"/>
                <w:sz w:val="21"/>
                <w:szCs w:val="21"/>
              </w:rPr>
              <w:t>Molecular Plant</w:t>
            </w:r>
          </w:p>
          <w:p w14:paraId="5E402033">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21.95</w:t>
            </w:r>
          </w:p>
        </w:tc>
        <w:tc>
          <w:tcPr>
            <w:tcW w:w="1040" w:type="dxa"/>
            <w:vAlign w:val="center"/>
          </w:tcPr>
          <w:p w14:paraId="5D201A3E">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10.1016/j.molp.2021.04.012</w:t>
            </w:r>
            <w:r>
              <w:rPr>
                <w:rFonts w:hint="eastAsia" w:ascii="Times New Roman"/>
                <w:sz w:val="21"/>
                <w:szCs w:val="21"/>
              </w:rPr>
              <w:t xml:space="preserve">/ </w:t>
            </w:r>
            <w:r>
              <w:rPr>
                <w:rFonts w:ascii="Times New Roman"/>
                <w:sz w:val="21"/>
                <w:szCs w:val="21"/>
              </w:rPr>
              <w:t>1674-2052</w:t>
            </w:r>
          </w:p>
        </w:tc>
        <w:tc>
          <w:tcPr>
            <w:tcW w:w="1040" w:type="dxa"/>
            <w:vAlign w:val="center"/>
          </w:tcPr>
          <w:p w14:paraId="339BB4EF">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2021-06-19</w:t>
            </w:r>
          </w:p>
        </w:tc>
        <w:tc>
          <w:tcPr>
            <w:tcW w:w="1431" w:type="dxa"/>
            <w:vAlign w:val="center"/>
          </w:tcPr>
          <w:p w14:paraId="77790AB0">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王青，苏青梅，粘金沯，张健，郭猛，董国军，胡江，王荣升，魏昌硕，李冠稳，王弯，郭惠珊，林少扬，钱文峰，谢先芝，钱前，陈凡，左建儒</w:t>
            </w:r>
          </w:p>
        </w:tc>
        <w:tc>
          <w:tcPr>
            <w:tcW w:w="1161" w:type="dxa"/>
            <w:vAlign w:val="center"/>
          </w:tcPr>
          <w:p w14:paraId="799C0848">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陈凡，左建儒</w:t>
            </w:r>
          </w:p>
        </w:tc>
        <w:tc>
          <w:tcPr>
            <w:tcW w:w="1134" w:type="dxa"/>
            <w:vAlign w:val="center"/>
          </w:tcPr>
          <w:p w14:paraId="71F6A638">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王青</w:t>
            </w:r>
          </w:p>
        </w:tc>
        <w:tc>
          <w:tcPr>
            <w:tcW w:w="851" w:type="dxa"/>
            <w:vAlign w:val="center"/>
          </w:tcPr>
          <w:p w14:paraId="1E539A1F">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57</w:t>
            </w:r>
          </w:p>
        </w:tc>
        <w:tc>
          <w:tcPr>
            <w:tcW w:w="850" w:type="dxa"/>
            <w:vAlign w:val="center"/>
          </w:tcPr>
          <w:p w14:paraId="084C60C5">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Web of Science</w:t>
            </w:r>
          </w:p>
        </w:tc>
        <w:tc>
          <w:tcPr>
            <w:tcW w:w="1134" w:type="dxa"/>
            <w:vAlign w:val="center"/>
          </w:tcPr>
          <w:p w14:paraId="7529204F">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否</w:t>
            </w:r>
          </w:p>
        </w:tc>
        <w:tc>
          <w:tcPr>
            <w:tcW w:w="1134" w:type="dxa"/>
            <w:vAlign w:val="center"/>
          </w:tcPr>
          <w:p w14:paraId="45C96020">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否</w:t>
            </w:r>
          </w:p>
        </w:tc>
      </w:tr>
      <w:tr w14:paraId="5340A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3" w:hRule="exact"/>
        </w:trPr>
        <w:tc>
          <w:tcPr>
            <w:tcW w:w="400" w:type="dxa"/>
            <w:vAlign w:val="center"/>
          </w:tcPr>
          <w:p w14:paraId="2389945B">
            <w:pPr>
              <w:pStyle w:val="3"/>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4</w:t>
            </w:r>
          </w:p>
        </w:tc>
        <w:tc>
          <w:tcPr>
            <w:tcW w:w="2591" w:type="dxa"/>
            <w:vAlign w:val="center"/>
          </w:tcPr>
          <w:p w14:paraId="700D325C">
            <w:pPr>
              <w:pStyle w:val="3"/>
              <w:adjustRightInd w:val="0"/>
              <w:spacing w:line="240" w:lineRule="auto"/>
              <w:ind w:firstLine="0" w:firstLineChars="0"/>
              <w:jc w:val="center"/>
              <w:rPr>
                <w:rFonts w:ascii="Times New Roman"/>
                <w:color w:val="000000"/>
                <w:sz w:val="21"/>
                <w:szCs w:val="28"/>
              </w:rPr>
            </w:pPr>
            <w:bookmarkStart w:id="5" w:name="_Hlk192932377"/>
            <w:r>
              <w:rPr>
                <w:rFonts w:ascii="Times New Roman"/>
                <w:sz w:val="21"/>
                <w:szCs w:val="21"/>
              </w:rPr>
              <w:t>Genetic variations in ARE1 mediate grain yield by modulating nitrogen utilization in rice</w:t>
            </w:r>
            <w:bookmarkEnd w:id="5"/>
            <w:r>
              <w:rPr>
                <w:rFonts w:ascii="Times New Roman"/>
                <w:sz w:val="21"/>
                <w:szCs w:val="21"/>
              </w:rPr>
              <w:t>.</w:t>
            </w:r>
          </w:p>
        </w:tc>
        <w:tc>
          <w:tcPr>
            <w:tcW w:w="1517" w:type="dxa"/>
            <w:vAlign w:val="center"/>
          </w:tcPr>
          <w:p w14:paraId="4551E251">
            <w:pPr>
              <w:pStyle w:val="3"/>
              <w:spacing w:line="240" w:lineRule="auto"/>
              <w:ind w:firstLine="0" w:firstLineChars="0"/>
              <w:jc w:val="center"/>
              <w:rPr>
                <w:rFonts w:ascii="Times New Roman"/>
                <w:sz w:val="21"/>
                <w:szCs w:val="21"/>
              </w:rPr>
            </w:pPr>
            <w:r>
              <w:rPr>
                <w:rFonts w:ascii="Times New Roman"/>
                <w:sz w:val="21"/>
                <w:szCs w:val="21"/>
              </w:rPr>
              <w:t>Nature Communications</w:t>
            </w:r>
          </w:p>
          <w:p w14:paraId="716410AB">
            <w:pPr>
              <w:pStyle w:val="3"/>
              <w:adjustRightInd w:val="0"/>
              <w:spacing w:line="240" w:lineRule="auto"/>
              <w:ind w:firstLine="0" w:firstLineChars="0"/>
              <w:jc w:val="center"/>
              <w:rPr>
                <w:rFonts w:ascii="Times New Roman"/>
                <w:color w:val="000000"/>
                <w:sz w:val="21"/>
                <w:szCs w:val="28"/>
              </w:rPr>
            </w:pPr>
            <w:r>
              <w:rPr>
                <w:rFonts w:ascii="Times New Roman"/>
                <w:sz w:val="21"/>
                <w:szCs w:val="21"/>
              </w:rPr>
              <w:t>11.88</w:t>
            </w:r>
          </w:p>
        </w:tc>
        <w:tc>
          <w:tcPr>
            <w:tcW w:w="1040" w:type="dxa"/>
            <w:vAlign w:val="center"/>
          </w:tcPr>
          <w:p w14:paraId="26E068C2">
            <w:pPr>
              <w:pStyle w:val="3"/>
              <w:adjustRightInd w:val="0"/>
              <w:spacing w:line="240" w:lineRule="auto"/>
              <w:ind w:firstLine="0" w:firstLineChars="0"/>
              <w:jc w:val="center"/>
              <w:rPr>
                <w:rFonts w:ascii="Times New Roman"/>
                <w:color w:val="000000"/>
                <w:sz w:val="21"/>
                <w:szCs w:val="28"/>
              </w:rPr>
            </w:pPr>
            <w:r>
              <w:rPr>
                <w:rFonts w:ascii="Times New Roman"/>
                <w:sz w:val="21"/>
                <w:szCs w:val="21"/>
              </w:rPr>
              <w:t>10.1038/s41467-017-02781-w</w:t>
            </w:r>
            <w:r>
              <w:rPr>
                <w:rFonts w:hint="eastAsia" w:ascii="Times New Roman"/>
                <w:sz w:val="21"/>
                <w:szCs w:val="21"/>
              </w:rPr>
              <w:t xml:space="preserve">/ </w:t>
            </w:r>
            <w:r>
              <w:rPr>
                <w:rFonts w:ascii="Times New Roman"/>
                <w:sz w:val="21"/>
                <w:szCs w:val="21"/>
              </w:rPr>
              <w:t>2041-1723</w:t>
            </w:r>
          </w:p>
        </w:tc>
        <w:tc>
          <w:tcPr>
            <w:tcW w:w="1040" w:type="dxa"/>
            <w:vAlign w:val="center"/>
          </w:tcPr>
          <w:p w14:paraId="0A1F9F0A">
            <w:pPr>
              <w:pStyle w:val="3"/>
              <w:adjustRightInd w:val="0"/>
              <w:spacing w:line="240" w:lineRule="auto"/>
              <w:ind w:firstLine="0" w:firstLineChars="0"/>
              <w:jc w:val="center"/>
              <w:rPr>
                <w:rFonts w:ascii="Times New Roman"/>
                <w:color w:val="000000"/>
                <w:sz w:val="21"/>
                <w:szCs w:val="28"/>
              </w:rPr>
            </w:pPr>
            <w:r>
              <w:rPr>
                <w:rFonts w:ascii="Times New Roman"/>
                <w:sz w:val="21"/>
                <w:szCs w:val="21"/>
              </w:rPr>
              <w:t>2018-12-28</w:t>
            </w:r>
          </w:p>
        </w:tc>
        <w:tc>
          <w:tcPr>
            <w:tcW w:w="1431" w:type="dxa"/>
            <w:vAlign w:val="center"/>
          </w:tcPr>
          <w:p w14:paraId="7A24FDD3">
            <w:pPr>
              <w:pStyle w:val="3"/>
              <w:adjustRightInd w:val="0"/>
              <w:spacing w:line="240" w:lineRule="auto"/>
              <w:ind w:firstLine="0" w:firstLineChars="0"/>
              <w:jc w:val="center"/>
              <w:rPr>
                <w:rFonts w:ascii="Times New Roman"/>
                <w:color w:val="000000"/>
                <w:sz w:val="21"/>
                <w:szCs w:val="28"/>
              </w:rPr>
            </w:pPr>
            <w:r>
              <w:rPr>
                <w:rFonts w:hint="eastAsia" w:ascii="Times New Roman"/>
                <w:sz w:val="21"/>
                <w:szCs w:val="21"/>
              </w:rPr>
              <w:t>王青，粘金沯，谢先芝，余泓，张健，白蛟腾，董国军，胡江，白波，陈立超，谢庆军，冯健，杨晓璐，彭居俐，陈凡，钱前，李家洋，左建儒</w:t>
            </w:r>
          </w:p>
        </w:tc>
        <w:tc>
          <w:tcPr>
            <w:tcW w:w="1161" w:type="dxa"/>
            <w:vAlign w:val="center"/>
          </w:tcPr>
          <w:p w14:paraId="782A7485">
            <w:pPr>
              <w:pStyle w:val="3"/>
              <w:adjustRightInd w:val="0"/>
              <w:spacing w:line="240" w:lineRule="auto"/>
              <w:ind w:firstLine="0" w:firstLineChars="0"/>
              <w:jc w:val="center"/>
              <w:rPr>
                <w:rFonts w:ascii="Times New Roman"/>
                <w:color w:val="000000"/>
                <w:sz w:val="21"/>
                <w:szCs w:val="28"/>
              </w:rPr>
            </w:pPr>
            <w:bookmarkStart w:id="6" w:name="_Hlk192932419"/>
            <w:r>
              <w:rPr>
                <w:rFonts w:hint="eastAsia" w:ascii="Times New Roman"/>
                <w:sz w:val="21"/>
                <w:szCs w:val="21"/>
              </w:rPr>
              <w:t>钱前，李家洋，左建儒</w:t>
            </w:r>
            <w:bookmarkEnd w:id="6"/>
          </w:p>
        </w:tc>
        <w:tc>
          <w:tcPr>
            <w:tcW w:w="1134" w:type="dxa"/>
            <w:vAlign w:val="center"/>
          </w:tcPr>
          <w:p w14:paraId="0FC50FAD">
            <w:pPr>
              <w:pStyle w:val="3"/>
              <w:adjustRightInd w:val="0"/>
              <w:spacing w:line="240" w:lineRule="auto"/>
              <w:ind w:firstLine="0" w:firstLineChars="0"/>
              <w:jc w:val="center"/>
              <w:rPr>
                <w:rFonts w:ascii="Times New Roman"/>
                <w:color w:val="000000"/>
                <w:sz w:val="21"/>
                <w:szCs w:val="28"/>
              </w:rPr>
            </w:pPr>
            <w:bookmarkStart w:id="7" w:name="_Hlk192932395"/>
            <w:r>
              <w:rPr>
                <w:rFonts w:hint="eastAsia" w:ascii="Times New Roman"/>
                <w:sz w:val="21"/>
                <w:szCs w:val="21"/>
              </w:rPr>
              <w:t>王青，粘金沯，谢先芝</w:t>
            </w:r>
            <w:bookmarkEnd w:id="7"/>
          </w:p>
        </w:tc>
        <w:tc>
          <w:tcPr>
            <w:tcW w:w="851" w:type="dxa"/>
            <w:vAlign w:val="center"/>
          </w:tcPr>
          <w:p w14:paraId="15F70EFB">
            <w:pPr>
              <w:pStyle w:val="3"/>
              <w:adjustRightInd w:val="0"/>
              <w:spacing w:line="240" w:lineRule="auto"/>
              <w:ind w:firstLine="0" w:firstLineChars="0"/>
              <w:jc w:val="center"/>
              <w:rPr>
                <w:rFonts w:ascii="Times New Roman"/>
                <w:color w:val="000000"/>
                <w:sz w:val="21"/>
                <w:szCs w:val="28"/>
              </w:rPr>
            </w:pPr>
            <w:r>
              <w:rPr>
                <w:rFonts w:ascii="Times New Roman"/>
                <w:sz w:val="21"/>
                <w:szCs w:val="21"/>
              </w:rPr>
              <w:t>102</w:t>
            </w:r>
          </w:p>
        </w:tc>
        <w:tc>
          <w:tcPr>
            <w:tcW w:w="850" w:type="dxa"/>
            <w:vAlign w:val="center"/>
          </w:tcPr>
          <w:p w14:paraId="42067053">
            <w:pPr>
              <w:pStyle w:val="3"/>
              <w:adjustRightInd w:val="0"/>
              <w:spacing w:line="240" w:lineRule="auto"/>
              <w:ind w:firstLine="0" w:firstLineChars="0"/>
              <w:jc w:val="center"/>
              <w:rPr>
                <w:rFonts w:ascii="Times New Roman"/>
                <w:color w:val="000000"/>
                <w:sz w:val="21"/>
                <w:szCs w:val="28"/>
              </w:rPr>
            </w:pPr>
            <w:r>
              <w:rPr>
                <w:rFonts w:ascii="Times New Roman"/>
                <w:sz w:val="21"/>
                <w:szCs w:val="21"/>
              </w:rPr>
              <w:t>Web of Science</w:t>
            </w:r>
          </w:p>
        </w:tc>
        <w:tc>
          <w:tcPr>
            <w:tcW w:w="1134" w:type="dxa"/>
            <w:vAlign w:val="center"/>
          </w:tcPr>
          <w:p w14:paraId="0C100263">
            <w:pPr>
              <w:pStyle w:val="3"/>
              <w:adjustRightInd w:val="0"/>
              <w:spacing w:line="240" w:lineRule="auto"/>
              <w:ind w:firstLine="0" w:firstLineChars="0"/>
              <w:jc w:val="center"/>
              <w:rPr>
                <w:rFonts w:ascii="Times New Roman"/>
                <w:color w:val="000000"/>
                <w:sz w:val="21"/>
                <w:szCs w:val="28"/>
              </w:rPr>
            </w:pPr>
            <w:r>
              <w:rPr>
                <w:rFonts w:ascii="Times New Roman"/>
                <w:sz w:val="21"/>
                <w:szCs w:val="21"/>
              </w:rPr>
              <w:t>是</w:t>
            </w:r>
          </w:p>
        </w:tc>
        <w:tc>
          <w:tcPr>
            <w:tcW w:w="1134" w:type="dxa"/>
            <w:vAlign w:val="center"/>
          </w:tcPr>
          <w:p w14:paraId="5D384876">
            <w:pPr>
              <w:pStyle w:val="3"/>
              <w:adjustRightInd w:val="0"/>
              <w:spacing w:line="240" w:lineRule="auto"/>
              <w:ind w:firstLine="0" w:firstLineChars="0"/>
              <w:jc w:val="center"/>
              <w:rPr>
                <w:rFonts w:ascii="Times New Roman"/>
                <w:color w:val="000000"/>
                <w:sz w:val="21"/>
                <w:szCs w:val="28"/>
              </w:rPr>
            </w:pPr>
            <w:r>
              <w:rPr>
                <w:rFonts w:ascii="Times New Roman"/>
                <w:sz w:val="21"/>
                <w:szCs w:val="21"/>
              </w:rPr>
              <w:t>否</w:t>
            </w:r>
          </w:p>
        </w:tc>
      </w:tr>
      <w:tr w14:paraId="4A1DA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3" w:hRule="exact"/>
        </w:trPr>
        <w:tc>
          <w:tcPr>
            <w:tcW w:w="400" w:type="dxa"/>
            <w:vAlign w:val="center"/>
          </w:tcPr>
          <w:p w14:paraId="7388A445">
            <w:pPr>
              <w:pStyle w:val="3"/>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5</w:t>
            </w:r>
          </w:p>
        </w:tc>
        <w:tc>
          <w:tcPr>
            <w:tcW w:w="2591" w:type="dxa"/>
            <w:vAlign w:val="center"/>
          </w:tcPr>
          <w:p w14:paraId="5C12D264">
            <w:pPr>
              <w:pStyle w:val="3"/>
              <w:adjustRightInd w:val="0"/>
              <w:spacing w:after="50" w:line="320" w:lineRule="exact"/>
              <w:ind w:firstLine="0" w:firstLineChars="0"/>
              <w:jc w:val="center"/>
              <w:rPr>
                <w:rFonts w:ascii="Times New Roman"/>
                <w:color w:val="000000"/>
                <w:sz w:val="21"/>
                <w:szCs w:val="28"/>
              </w:rPr>
            </w:pPr>
            <w:bookmarkStart w:id="8" w:name="_Hlk192932532"/>
            <w:r>
              <w:rPr>
                <w:rFonts w:ascii="Times New Roman"/>
                <w:sz w:val="21"/>
                <w:szCs w:val="21"/>
              </w:rPr>
              <w:t>Phytochromes regulate SA and JA signaling pathways in rice and are required for developmentally controlled resistance to Magnaporthe grisea</w:t>
            </w:r>
            <w:bookmarkEnd w:id="8"/>
            <w:r>
              <w:rPr>
                <w:rFonts w:ascii="Times New Roman"/>
                <w:sz w:val="21"/>
                <w:szCs w:val="21"/>
              </w:rPr>
              <w:t>.</w:t>
            </w:r>
          </w:p>
        </w:tc>
        <w:tc>
          <w:tcPr>
            <w:tcW w:w="1517" w:type="dxa"/>
            <w:vAlign w:val="center"/>
          </w:tcPr>
          <w:p w14:paraId="591E32C0">
            <w:pPr>
              <w:pStyle w:val="3"/>
              <w:spacing w:line="240" w:lineRule="auto"/>
              <w:ind w:firstLine="0" w:firstLineChars="0"/>
              <w:rPr>
                <w:rFonts w:ascii="Times New Roman"/>
                <w:sz w:val="21"/>
                <w:szCs w:val="21"/>
              </w:rPr>
            </w:pPr>
            <w:r>
              <w:rPr>
                <w:rFonts w:ascii="Times New Roman"/>
                <w:sz w:val="21"/>
                <w:szCs w:val="21"/>
              </w:rPr>
              <w:t>Molecular Plant</w:t>
            </w:r>
          </w:p>
          <w:p w14:paraId="768DC338">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5.55</w:t>
            </w:r>
          </w:p>
        </w:tc>
        <w:tc>
          <w:tcPr>
            <w:tcW w:w="1040" w:type="dxa"/>
            <w:vAlign w:val="center"/>
          </w:tcPr>
          <w:p w14:paraId="37872285">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10.1093/mp/ssr005</w:t>
            </w:r>
            <w:r>
              <w:rPr>
                <w:rFonts w:hint="eastAsia" w:ascii="Times New Roman"/>
                <w:sz w:val="21"/>
                <w:szCs w:val="21"/>
              </w:rPr>
              <w:t xml:space="preserve">/ </w:t>
            </w:r>
            <w:r>
              <w:rPr>
                <w:rFonts w:ascii="Times New Roman"/>
                <w:sz w:val="21"/>
                <w:szCs w:val="21"/>
              </w:rPr>
              <w:t>1674-2052</w:t>
            </w:r>
          </w:p>
        </w:tc>
        <w:tc>
          <w:tcPr>
            <w:tcW w:w="1040" w:type="dxa"/>
            <w:vAlign w:val="center"/>
          </w:tcPr>
          <w:p w14:paraId="564426CD">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2011-07-01</w:t>
            </w:r>
          </w:p>
        </w:tc>
        <w:tc>
          <w:tcPr>
            <w:tcW w:w="1431" w:type="dxa"/>
            <w:vAlign w:val="center"/>
          </w:tcPr>
          <w:p w14:paraId="0F916230">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谢先芝，薛彦久，周晋军，张斌，常泓，</w:t>
            </w:r>
            <w:r>
              <w:rPr>
                <w:rFonts w:ascii="Times New Roman"/>
                <w:sz w:val="21"/>
                <w:szCs w:val="21"/>
              </w:rPr>
              <w:t>Takano, Makoto</w:t>
            </w:r>
          </w:p>
        </w:tc>
        <w:tc>
          <w:tcPr>
            <w:tcW w:w="1161" w:type="dxa"/>
            <w:vAlign w:val="center"/>
          </w:tcPr>
          <w:p w14:paraId="57708B80">
            <w:pPr>
              <w:pStyle w:val="3"/>
              <w:adjustRightInd w:val="0"/>
              <w:spacing w:after="50" w:line="320" w:lineRule="exact"/>
              <w:ind w:firstLine="0" w:firstLineChars="0"/>
              <w:jc w:val="center"/>
              <w:rPr>
                <w:rFonts w:ascii="Times New Roman"/>
                <w:color w:val="000000"/>
                <w:sz w:val="21"/>
                <w:szCs w:val="28"/>
              </w:rPr>
            </w:pPr>
            <w:r>
              <w:rPr>
                <w:rFonts w:hint="eastAsia" w:ascii="Times New Roman"/>
                <w:sz w:val="21"/>
                <w:szCs w:val="21"/>
              </w:rPr>
              <w:t>谢先芝</w:t>
            </w:r>
          </w:p>
        </w:tc>
        <w:tc>
          <w:tcPr>
            <w:tcW w:w="1134" w:type="dxa"/>
            <w:vAlign w:val="center"/>
          </w:tcPr>
          <w:p w14:paraId="13A492F5">
            <w:pPr>
              <w:pStyle w:val="3"/>
              <w:adjustRightInd w:val="0"/>
              <w:spacing w:after="50" w:line="320" w:lineRule="exact"/>
              <w:ind w:firstLine="0" w:firstLineChars="0"/>
              <w:jc w:val="center"/>
              <w:rPr>
                <w:rFonts w:ascii="Times New Roman"/>
                <w:color w:val="000000"/>
                <w:sz w:val="21"/>
                <w:szCs w:val="28"/>
              </w:rPr>
            </w:pPr>
            <w:bookmarkStart w:id="9" w:name="_Hlk192932552"/>
            <w:r>
              <w:rPr>
                <w:rFonts w:hint="eastAsia" w:ascii="Times New Roman"/>
                <w:sz w:val="21"/>
                <w:szCs w:val="21"/>
              </w:rPr>
              <w:t>谢先芝，薛彦久</w:t>
            </w:r>
            <w:bookmarkEnd w:id="9"/>
          </w:p>
        </w:tc>
        <w:tc>
          <w:tcPr>
            <w:tcW w:w="851" w:type="dxa"/>
            <w:vAlign w:val="center"/>
          </w:tcPr>
          <w:p w14:paraId="2BA6723C">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129</w:t>
            </w:r>
          </w:p>
        </w:tc>
        <w:tc>
          <w:tcPr>
            <w:tcW w:w="850" w:type="dxa"/>
            <w:vAlign w:val="center"/>
          </w:tcPr>
          <w:p w14:paraId="2B79283D">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Web of Science</w:t>
            </w:r>
          </w:p>
        </w:tc>
        <w:tc>
          <w:tcPr>
            <w:tcW w:w="1134" w:type="dxa"/>
            <w:vAlign w:val="center"/>
          </w:tcPr>
          <w:p w14:paraId="620967BA">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是</w:t>
            </w:r>
          </w:p>
        </w:tc>
        <w:tc>
          <w:tcPr>
            <w:tcW w:w="1134" w:type="dxa"/>
            <w:vAlign w:val="center"/>
          </w:tcPr>
          <w:p w14:paraId="1DDD33EC">
            <w:pPr>
              <w:pStyle w:val="3"/>
              <w:adjustRightInd w:val="0"/>
              <w:spacing w:after="50" w:line="320" w:lineRule="exact"/>
              <w:ind w:firstLine="0" w:firstLineChars="0"/>
              <w:jc w:val="center"/>
              <w:rPr>
                <w:rFonts w:ascii="Times New Roman"/>
                <w:color w:val="000000"/>
                <w:sz w:val="21"/>
                <w:szCs w:val="28"/>
              </w:rPr>
            </w:pPr>
            <w:r>
              <w:rPr>
                <w:rFonts w:ascii="Times New Roman"/>
                <w:sz w:val="21"/>
                <w:szCs w:val="21"/>
              </w:rPr>
              <w:t>是</w:t>
            </w:r>
          </w:p>
        </w:tc>
      </w:tr>
    </w:tbl>
    <w:p w14:paraId="5D87B1A3">
      <w:pPr>
        <w:pStyle w:val="6"/>
        <w:spacing w:after="0" w:line="360" w:lineRule="auto"/>
        <w:ind w:firstLine="0" w:firstLineChars="0"/>
        <w:rPr>
          <w:rFonts w:hint="eastAsia"/>
          <w:bCs/>
          <w:sz w:val="36"/>
          <w:szCs w:val="36"/>
        </w:rPr>
      </w:pPr>
    </w:p>
    <w:p w14:paraId="02251DB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12" w:usb3="00000000" w:csb0="00040001"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3D"/>
    <w:rsid w:val="0007506B"/>
    <w:rsid w:val="00090FCF"/>
    <w:rsid w:val="00277301"/>
    <w:rsid w:val="002F0186"/>
    <w:rsid w:val="005008BE"/>
    <w:rsid w:val="00866AB4"/>
    <w:rsid w:val="00A10982"/>
    <w:rsid w:val="00A84743"/>
    <w:rsid w:val="00CB3C3D"/>
    <w:rsid w:val="00D1479A"/>
    <w:rsid w:val="00DF24E2"/>
    <w:rsid w:val="00E522F3"/>
    <w:rsid w:val="00EA4E28"/>
    <w:rsid w:val="00EB4607"/>
    <w:rsid w:val="1DBD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Plain Text"/>
    <w:basedOn w:val="1"/>
    <w:link w:val="11"/>
    <w:qFormat/>
    <w:uiPriority w:val="0"/>
    <w:pPr>
      <w:spacing w:line="360" w:lineRule="auto"/>
      <w:ind w:firstLine="480" w:firstLineChars="200"/>
    </w:pPr>
    <w:rPr>
      <w:rFonts w:ascii="仿宋_GB2312"/>
      <w:sz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0"/>
    <w:qFormat/>
    <w:uiPriority w:val="0"/>
    <w:pPr>
      <w:ind w:firstLine="420" w:firstLineChars="100"/>
    </w:pPr>
  </w:style>
  <w:style w:type="character" w:customStyle="1" w:styleId="9">
    <w:name w:val="正文文本 字符"/>
    <w:basedOn w:val="8"/>
    <w:link w:val="2"/>
    <w:semiHidden/>
    <w:uiPriority w:val="99"/>
    <w:rPr>
      <w:rFonts w:ascii="Times New Roman" w:hAnsi="Times New Roman" w:eastAsia="宋体" w:cs="Times New Roman"/>
      <w:szCs w:val="20"/>
    </w:rPr>
  </w:style>
  <w:style w:type="character" w:customStyle="1" w:styleId="10">
    <w:name w:val="正文文本首行缩进 字符"/>
    <w:basedOn w:val="9"/>
    <w:link w:val="6"/>
    <w:uiPriority w:val="0"/>
    <w:rPr>
      <w:rFonts w:ascii="Times New Roman" w:hAnsi="Times New Roman" w:eastAsia="宋体" w:cs="Times New Roman"/>
      <w:szCs w:val="20"/>
    </w:rPr>
  </w:style>
  <w:style w:type="character" w:customStyle="1" w:styleId="11">
    <w:name w:val="纯文本 字符"/>
    <w:basedOn w:val="8"/>
    <w:link w:val="3"/>
    <w:qFormat/>
    <w:uiPriority w:val="0"/>
    <w:rPr>
      <w:rFonts w:ascii="仿宋_GB2312" w:hAnsi="Times New Roman" w:eastAsia="宋体" w:cs="Times New Roman"/>
      <w:sz w:val="24"/>
      <w:szCs w:val="20"/>
    </w:rPr>
  </w:style>
  <w:style w:type="character" w:customStyle="1" w:styleId="12">
    <w:name w:val="页眉 字符"/>
    <w:basedOn w:val="8"/>
    <w:link w:val="5"/>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1513</Words>
  <Characters>2498</Characters>
  <Lines>19</Lines>
  <Paragraphs>5</Paragraphs>
  <TotalTime>1</TotalTime>
  <ScaleCrop>false</ScaleCrop>
  <LinksUpToDate>false</LinksUpToDate>
  <CharactersWithSpaces>2644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2025-03-16T02:25:00Z</dcterms:created>
  <dc:creator>helen janny</dc:creator>
  <cp:lastModifiedBy>海棠</cp:lastModifiedBy>
  <dcterms:modified xsi:type="dcterms:W3CDTF">2025-03-17T04:07:18Z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eyJoZGlkIjoiMjg1YTE1ZmY0Mjg5Y2EyNGMxODhmMDBhMGZkZTE5YTMiLCJ1c2VySWQiOiI0ODI5NTgxMjMifQ==</vt:lpwstr>
  </property>
  <property fmtid="{D5CDD505-2E9C-101B-9397-08002B2CF9AE}" pid="3" name="KSOProductBuildVer">
    <vt:lpwstr>2052-12.1.0.20305</vt:lpwstr>
  </property>
  <property fmtid="{D5CDD505-2E9C-101B-9397-08002B2CF9AE}" pid="4" name="ICV">
    <vt:lpwstr>ED2C3AB7623E4C32937FB286E3AF4839_12</vt:lpwstr>
  </property>
</Properties>
</file>